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1B18D9" w:rsidP="0024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246CA5" w:rsidRDefault="00246CA5" w:rsidP="002D2B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udruga - društava prijateljstva u svrhu ostvarenja financijske potpore </w:t>
      </w:r>
    </w:p>
    <w:p w:rsidR="00A361DE" w:rsidRPr="00A361DE" w:rsidRDefault="00A361DE" w:rsidP="00246C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0363D6" w:rsidP="00246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 xml:space="preserve">Natječaja za prijavu projekata udruga - društava prijateljstva u svrhu ostvarenja financijske potpore 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246CA5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246C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246CA5" w:rsidRPr="00246CA5">
        <w:t xml:space="preserve">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>Natječaja za prijavu projekata udruga - društava prijateljstva u svrhu ostvarenja financijske potpore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246CA5" w:rsidRPr="00246CA5" w:rsidRDefault="00AA12CA" w:rsidP="00246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 xml:space="preserve"> Natječaja za prijavu projekata udruga - društava prijateljstva u svrhu ostvarenja financijske potpore</w:t>
      </w:r>
      <w:r w:rsidR="004C319E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246CA5" w:rsidRPr="00450DE1" w:rsidRDefault="00246CA5" w:rsidP="00246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Pr="00450DE1" w:rsidRDefault="002D2B0D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6A57E5" w:rsidRPr="001F27EE" w:rsidRDefault="00E9683B" w:rsidP="001F27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Pr="00450DE1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7EE" w:rsidRDefault="001F27E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AA" w:rsidRDefault="006C3EAA" w:rsidP="004E049F">
      <w:pPr>
        <w:spacing w:after="0" w:line="240" w:lineRule="auto"/>
      </w:pPr>
      <w:r>
        <w:separator/>
      </w:r>
    </w:p>
  </w:endnote>
  <w:endnote w:type="continuationSeparator" w:id="0">
    <w:p w:rsidR="006C3EAA" w:rsidRDefault="006C3EA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7E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7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AA" w:rsidRDefault="006C3EAA" w:rsidP="004E049F">
      <w:pPr>
        <w:spacing w:after="0" w:line="240" w:lineRule="auto"/>
      </w:pPr>
      <w:r>
        <w:separator/>
      </w:r>
    </w:p>
  </w:footnote>
  <w:footnote w:type="continuationSeparator" w:id="0">
    <w:p w:rsidR="006C3EAA" w:rsidRDefault="006C3EA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5D"/>
    <w:rsid w:val="001A0CBD"/>
    <w:rsid w:val="001A5899"/>
    <w:rsid w:val="001B18D9"/>
    <w:rsid w:val="001C26CA"/>
    <w:rsid w:val="001D4A4B"/>
    <w:rsid w:val="001D7731"/>
    <w:rsid w:val="001E5548"/>
    <w:rsid w:val="001E6B23"/>
    <w:rsid w:val="001F27EE"/>
    <w:rsid w:val="00202843"/>
    <w:rsid w:val="00205457"/>
    <w:rsid w:val="0021279B"/>
    <w:rsid w:val="002139FE"/>
    <w:rsid w:val="00246CA5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23B"/>
    <w:rsid w:val="00401766"/>
    <w:rsid w:val="00423428"/>
    <w:rsid w:val="00444DC3"/>
    <w:rsid w:val="00450DE1"/>
    <w:rsid w:val="00453F1C"/>
    <w:rsid w:val="004A02F0"/>
    <w:rsid w:val="004B7813"/>
    <w:rsid w:val="004C319E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1F"/>
    <w:rsid w:val="00634D5D"/>
    <w:rsid w:val="006419C2"/>
    <w:rsid w:val="006468B1"/>
    <w:rsid w:val="00661332"/>
    <w:rsid w:val="006730EA"/>
    <w:rsid w:val="006805A8"/>
    <w:rsid w:val="00683E2A"/>
    <w:rsid w:val="0069002D"/>
    <w:rsid w:val="00694325"/>
    <w:rsid w:val="00697157"/>
    <w:rsid w:val="006A57E5"/>
    <w:rsid w:val="006B31B1"/>
    <w:rsid w:val="006C3EAA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4124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B73CB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B4B03"/>
    <w:rsid w:val="009C0BE6"/>
    <w:rsid w:val="009F3ADD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BF795F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FB98-D2FD-4AEA-97C9-91D8B933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MVEP</cp:lastModifiedBy>
  <cp:revision>2</cp:revision>
  <cp:lastPrinted>2013-11-27T08:23:00Z</cp:lastPrinted>
  <dcterms:created xsi:type="dcterms:W3CDTF">2019-12-31T05:03:00Z</dcterms:created>
  <dcterms:modified xsi:type="dcterms:W3CDTF">2019-12-31T05:03:00Z</dcterms:modified>
</cp:coreProperties>
</file>