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009"/>
        <w:gridCol w:w="6279"/>
      </w:tblGrid>
      <w:tr w:rsidR="002732AE" w:rsidRPr="00832051" w:rsidTr="0052772A">
        <w:tc>
          <w:tcPr>
            <w:tcW w:w="2835" w:type="dxa"/>
            <w:gridSpan w:val="2"/>
            <w:shd w:val="clear" w:color="auto" w:fill="A3CDF3"/>
          </w:tcPr>
          <w:p w:rsidR="002732AE" w:rsidRPr="00832051" w:rsidRDefault="002732AE" w:rsidP="00E71534">
            <w:pPr>
              <w:jc w:val="center"/>
            </w:pPr>
            <w:r w:rsidRPr="00832051">
              <w:t>OBRAZAC</w:t>
            </w:r>
          </w:p>
          <w:p w:rsidR="002732AE" w:rsidRPr="00832051" w:rsidRDefault="002732AE" w:rsidP="00E71534">
            <w:pPr>
              <w:jc w:val="center"/>
            </w:pPr>
            <w:r w:rsidRPr="00832051">
              <w:t>IZVJEŠĆA O PROVEDENOM SAVJETOVANJU SA ZAINTERESIRANOM JAVNOŠĆU</w:t>
            </w:r>
          </w:p>
        </w:tc>
      </w:tr>
      <w:tr w:rsidR="002732AE" w:rsidRPr="00832051" w:rsidTr="0052772A">
        <w:tc>
          <w:tcPr>
            <w:tcW w:w="2835" w:type="dxa"/>
          </w:tcPr>
          <w:p w:rsidR="002732AE" w:rsidRPr="00832051" w:rsidRDefault="002732AE" w:rsidP="00E71534">
            <w:pPr>
              <w:jc w:val="both"/>
            </w:pPr>
            <w:r w:rsidRPr="00832051">
              <w:t>Naslov dokumenta</w:t>
            </w:r>
          </w:p>
        </w:tc>
        <w:tc>
          <w:tcPr>
            <w:tcW w:w="4531" w:type="dxa"/>
          </w:tcPr>
          <w:p w:rsidR="00CC69AB" w:rsidRPr="00832051" w:rsidRDefault="00B752C3" w:rsidP="00B752C3">
            <w:pPr>
              <w:jc w:val="both"/>
            </w:pPr>
            <w:r>
              <w:t>P</w:t>
            </w:r>
            <w:r w:rsidR="00521C01" w:rsidRPr="00832051">
              <w:t>rijedlog</w:t>
            </w:r>
            <w:r>
              <w:t xml:space="preserve"> uredbe o izmjena</w:t>
            </w:r>
            <w:r w:rsidR="0055314F">
              <w:t>ma</w:t>
            </w:r>
            <w:r>
              <w:t xml:space="preserve"> i dopunama uredbe o izvozu i uvozu robe koja bi se mogla koristiti za izvršenje smrtne kazne, mučenje ili drugo okrutno, neljudsko ili ponižavajuće postupanje ili kažnjavanje</w:t>
            </w:r>
          </w:p>
        </w:tc>
      </w:tr>
      <w:tr w:rsidR="002732AE" w:rsidRPr="00832051" w:rsidTr="0052772A">
        <w:tc>
          <w:tcPr>
            <w:tcW w:w="2835" w:type="dxa"/>
          </w:tcPr>
          <w:p w:rsidR="002732AE" w:rsidRPr="00832051" w:rsidRDefault="002732AE" w:rsidP="00E71534">
            <w:pPr>
              <w:jc w:val="both"/>
            </w:pPr>
            <w:r w:rsidRPr="00832051">
              <w:t>Stvaratelj dokumenta, tijelo koje provodi savjetovanje</w:t>
            </w:r>
          </w:p>
          <w:p w:rsidR="00BB5B22" w:rsidRPr="00832051" w:rsidRDefault="00BB5B22" w:rsidP="00E71534">
            <w:pPr>
              <w:jc w:val="both"/>
            </w:pPr>
          </w:p>
        </w:tc>
        <w:tc>
          <w:tcPr>
            <w:tcW w:w="4531" w:type="dxa"/>
          </w:tcPr>
          <w:p w:rsidR="002732AE" w:rsidRPr="00832051" w:rsidRDefault="00DA7126" w:rsidP="00E71534">
            <w:pPr>
              <w:jc w:val="both"/>
            </w:pPr>
            <w:r w:rsidRPr="00832051">
              <w:t>Ministarstvo vanjskih i europskih poslova</w:t>
            </w:r>
          </w:p>
          <w:p w:rsidR="00CC69AB" w:rsidRPr="00832051" w:rsidRDefault="00CC69AB" w:rsidP="00E71534">
            <w:pPr>
              <w:jc w:val="both"/>
            </w:pPr>
          </w:p>
        </w:tc>
      </w:tr>
      <w:tr w:rsidR="002732AE" w:rsidRPr="00832051" w:rsidTr="0052772A">
        <w:tc>
          <w:tcPr>
            <w:tcW w:w="2835" w:type="dxa"/>
          </w:tcPr>
          <w:p w:rsidR="002732AE" w:rsidRPr="00832051" w:rsidRDefault="002732AE" w:rsidP="00E71534">
            <w:pPr>
              <w:jc w:val="both"/>
            </w:pPr>
            <w:r w:rsidRPr="00832051">
              <w:t>Svrha dokumenta</w:t>
            </w:r>
          </w:p>
        </w:tc>
        <w:tc>
          <w:tcPr>
            <w:tcW w:w="4531" w:type="dxa"/>
          </w:tcPr>
          <w:p w:rsidR="00CC69AB" w:rsidRPr="00832051" w:rsidRDefault="00B752C3" w:rsidP="001435E5">
            <w:pPr>
              <w:jc w:val="both"/>
            </w:pPr>
            <w:r>
              <w:t xml:space="preserve">Propisati </w:t>
            </w:r>
            <w:r w:rsidR="001435E5">
              <w:t>sadržaj i oblik obrazaca zahtjeva za izdavanje uvoznih ili izvoznih dozvola, za pružanje brokerskih usluga, tehničku pomoć ili provoz robe koja bi se mogla koristiti za izvršenje smrtne kazne, mučenje ili drugo okrtuno, neljudsko ili ponižavajuće postupanje ili kažnjavanje te obrazaca za izvješćivanje o izvršenom uvozu ili izvozu</w:t>
            </w:r>
          </w:p>
        </w:tc>
      </w:tr>
      <w:tr w:rsidR="002732AE" w:rsidRPr="00832051" w:rsidTr="0052772A">
        <w:tc>
          <w:tcPr>
            <w:tcW w:w="2835" w:type="dxa"/>
          </w:tcPr>
          <w:p w:rsidR="002732AE" w:rsidRPr="00832051" w:rsidRDefault="002732AE" w:rsidP="00E71534">
            <w:pPr>
              <w:jc w:val="both"/>
            </w:pPr>
            <w:r w:rsidRPr="00832051">
              <w:t>Datum dokumenta</w:t>
            </w:r>
          </w:p>
        </w:tc>
        <w:tc>
          <w:tcPr>
            <w:tcW w:w="4531" w:type="dxa"/>
          </w:tcPr>
          <w:p w:rsidR="00CC69AB" w:rsidRPr="00832051" w:rsidRDefault="00E04A76" w:rsidP="00E04A76">
            <w:pPr>
              <w:tabs>
                <w:tab w:val="left" w:pos="985"/>
              </w:tabs>
              <w:jc w:val="both"/>
            </w:pPr>
            <w:r>
              <w:t>19.11.2019.</w:t>
            </w:r>
          </w:p>
        </w:tc>
      </w:tr>
      <w:tr w:rsidR="002732AE" w:rsidRPr="00832051" w:rsidTr="0052772A">
        <w:tc>
          <w:tcPr>
            <w:tcW w:w="2835" w:type="dxa"/>
          </w:tcPr>
          <w:p w:rsidR="002732AE" w:rsidRPr="00832051" w:rsidRDefault="002732AE" w:rsidP="00E71534">
            <w:pPr>
              <w:jc w:val="both"/>
            </w:pPr>
            <w:r w:rsidRPr="00832051">
              <w:t>Verzija dokumenta</w:t>
            </w:r>
          </w:p>
        </w:tc>
        <w:tc>
          <w:tcPr>
            <w:tcW w:w="4531" w:type="dxa"/>
          </w:tcPr>
          <w:p w:rsidR="00CC69AB" w:rsidRPr="00832051" w:rsidRDefault="00E04A76" w:rsidP="00E71534">
            <w:pPr>
              <w:jc w:val="both"/>
            </w:pPr>
            <w:r>
              <w:t>I</w:t>
            </w:r>
          </w:p>
        </w:tc>
      </w:tr>
      <w:tr w:rsidR="002732AE" w:rsidRPr="00832051" w:rsidTr="0052772A">
        <w:tc>
          <w:tcPr>
            <w:tcW w:w="2835" w:type="dxa"/>
          </w:tcPr>
          <w:p w:rsidR="002732AE" w:rsidRPr="00832051" w:rsidRDefault="002732AE" w:rsidP="00E71534">
            <w:pPr>
              <w:tabs>
                <w:tab w:val="left" w:pos="2880"/>
              </w:tabs>
              <w:jc w:val="both"/>
            </w:pPr>
            <w:r w:rsidRPr="00832051">
              <w:t>Vrsta dokumenta</w:t>
            </w:r>
          </w:p>
        </w:tc>
        <w:tc>
          <w:tcPr>
            <w:tcW w:w="4531" w:type="dxa"/>
          </w:tcPr>
          <w:p w:rsidR="0033151A" w:rsidRPr="00832051" w:rsidRDefault="0055314F" w:rsidP="00E71534">
            <w:pPr>
              <w:jc w:val="both"/>
            </w:pPr>
            <w:r>
              <w:t xml:space="preserve">Prijedlog uredbe </w:t>
            </w:r>
          </w:p>
        </w:tc>
      </w:tr>
      <w:tr w:rsidR="002732AE" w:rsidRPr="00832051" w:rsidTr="0052772A">
        <w:tc>
          <w:tcPr>
            <w:tcW w:w="2835" w:type="dxa"/>
          </w:tcPr>
          <w:p w:rsidR="002732AE" w:rsidRPr="00832051" w:rsidRDefault="002732AE" w:rsidP="00E71534">
            <w:pPr>
              <w:jc w:val="both"/>
            </w:pPr>
            <w:r w:rsidRPr="00832051">
              <w:t>Naziv nacrta zakona, drugog propisa ili akta</w:t>
            </w:r>
          </w:p>
        </w:tc>
        <w:tc>
          <w:tcPr>
            <w:tcW w:w="4531" w:type="dxa"/>
          </w:tcPr>
          <w:p w:rsidR="00CC69AB" w:rsidRPr="00832051" w:rsidRDefault="00DA7126" w:rsidP="0055314F">
            <w:pPr>
              <w:jc w:val="both"/>
            </w:pPr>
            <w:r w:rsidRPr="00832051">
              <w:t>Prijedlog</w:t>
            </w:r>
            <w:r w:rsidR="0055314F">
              <w:t xml:space="preserve"> uredbe o izmjenama i dopunama uredbe o izvozu i uvozu robe koja bi se mogla koristiti za izvršenje smrtne kazne, mučenje ili drugo okrutno, neljudsko ili ponižavajuće postupanje ili kažnjavanje</w:t>
            </w:r>
            <w:bookmarkStart w:id="0" w:name="_GoBack"/>
            <w:bookmarkEnd w:id="0"/>
          </w:p>
        </w:tc>
      </w:tr>
      <w:tr w:rsidR="00E74026" w:rsidRPr="00832051" w:rsidTr="0052772A">
        <w:tc>
          <w:tcPr>
            <w:tcW w:w="2835" w:type="dxa"/>
          </w:tcPr>
          <w:p w:rsidR="00E74026" w:rsidRPr="00832051" w:rsidRDefault="00E74026" w:rsidP="00E71534">
            <w:pPr>
              <w:jc w:val="both"/>
            </w:pPr>
            <w:r w:rsidRPr="00832051">
              <w:t>Jedinstvena oznaka iz Plana donošenja zakona, drugih propisa i akata objavljenog na internetskim stranicama Vlade</w:t>
            </w:r>
          </w:p>
          <w:p w:rsidR="00BB5B22" w:rsidRPr="00832051" w:rsidRDefault="00BB5B22" w:rsidP="00E71534">
            <w:pPr>
              <w:jc w:val="both"/>
            </w:pPr>
          </w:p>
        </w:tc>
        <w:tc>
          <w:tcPr>
            <w:tcW w:w="4531" w:type="dxa"/>
          </w:tcPr>
          <w:p w:rsidR="00E74026" w:rsidRPr="00832051" w:rsidRDefault="00E74026" w:rsidP="00E71534">
            <w:pPr>
              <w:jc w:val="both"/>
            </w:pPr>
          </w:p>
          <w:p w:rsidR="00CC69AB" w:rsidRPr="00832051" w:rsidRDefault="00CC69AB" w:rsidP="00E71534">
            <w:pPr>
              <w:jc w:val="both"/>
            </w:pPr>
          </w:p>
        </w:tc>
      </w:tr>
      <w:tr w:rsidR="00E74026" w:rsidRPr="00832051" w:rsidTr="0052772A">
        <w:tc>
          <w:tcPr>
            <w:tcW w:w="2835" w:type="dxa"/>
          </w:tcPr>
          <w:p w:rsidR="00E74026" w:rsidRPr="00832051" w:rsidRDefault="00E74026" w:rsidP="00E71534">
            <w:pPr>
              <w:jc w:val="both"/>
            </w:pPr>
            <w:r w:rsidRPr="00832051">
              <w:t>Naziv tijela nadležnog za izradu nacrta</w:t>
            </w:r>
          </w:p>
        </w:tc>
        <w:tc>
          <w:tcPr>
            <w:tcW w:w="4531" w:type="dxa"/>
          </w:tcPr>
          <w:p w:rsidR="00E74026" w:rsidRPr="00832051" w:rsidRDefault="00DA7126" w:rsidP="00E71534">
            <w:pPr>
              <w:jc w:val="both"/>
            </w:pPr>
            <w:r w:rsidRPr="00832051">
              <w:t>Ministarstvo vanjskih i europskih poslova</w:t>
            </w:r>
          </w:p>
          <w:p w:rsidR="00CC69AB" w:rsidRPr="00832051" w:rsidRDefault="00CC69AB" w:rsidP="00E71534">
            <w:pPr>
              <w:jc w:val="both"/>
            </w:pPr>
          </w:p>
        </w:tc>
      </w:tr>
      <w:tr w:rsidR="00E74026" w:rsidRPr="00832051" w:rsidTr="0052772A">
        <w:tc>
          <w:tcPr>
            <w:tcW w:w="2835" w:type="dxa"/>
          </w:tcPr>
          <w:p w:rsidR="00E74026" w:rsidRPr="00832051" w:rsidRDefault="00E74026" w:rsidP="00E71534">
            <w:pPr>
              <w:jc w:val="both"/>
            </w:pPr>
            <w:r w:rsidRPr="00832051">
              <w:t>Koji su predstavnici zainteresirane javnosti bili uključeni u postupak izrade odnosno u rad stručne radne skupine za izradu nacrta?</w:t>
            </w:r>
          </w:p>
          <w:p w:rsidR="00BB5B22" w:rsidRPr="00832051" w:rsidRDefault="00BB5B22" w:rsidP="00E71534">
            <w:pPr>
              <w:jc w:val="both"/>
            </w:pPr>
          </w:p>
        </w:tc>
        <w:tc>
          <w:tcPr>
            <w:tcW w:w="4531" w:type="dxa"/>
          </w:tcPr>
          <w:p w:rsidR="00CC69AB" w:rsidRPr="00832051" w:rsidRDefault="001E70F1" w:rsidP="00E71534">
            <w:pPr>
              <w:jc w:val="both"/>
            </w:pPr>
            <w:r w:rsidRPr="00832051">
              <w:t>/</w:t>
            </w:r>
          </w:p>
        </w:tc>
      </w:tr>
      <w:tr w:rsidR="00E74026" w:rsidRPr="00832051" w:rsidTr="0052772A">
        <w:tc>
          <w:tcPr>
            <w:tcW w:w="2835" w:type="dxa"/>
          </w:tcPr>
          <w:p w:rsidR="00E74026" w:rsidRPr="00832051" w:rsidRDefault="00E74026" w:rsidP="00E71534">
            <w:pPr>
              <w:jc w:val="both"/>
            </w:pPr>
            <w:r w:rsidRPr="00832051">
              <w:t>Je li nacrt bio objavljen na</w:t>
            </w:r>
            <w:r w:rsidR="0052772A" w:rsidRPr="00832051">
              <w:t xml:space="preserve"> i</w:t>
            </w:r>
            <w:r w:rsidRPr="00832051">
              <w:t>nternetskim stranicama ili na drugi odgovarajući način?</w:t>
            </w:r>
          </w:p>
          <w:p w:rsidR="00E74026" w:rsidRPr="00832051" w:rsidRDefault="00E74026" w:rsidP="00E71534">
            <w:pPr>
              <w:jc w:val="both"/>
            </w:pPr>
          </w:p>
          <w:p w:rsidR="00E74026" w:rsidRPr="00832051" w:rsidRDefault="00E74026" w:rsidP="00E71534">
            <w:pPr>
              <w:jc w:val="both"/>
            </w:pPr>
            <w:r w:rsidRPr="00832051">
              <w:t>Ako jest, kada je nacrt objavljen, na kojoj internetskoj stranici i koliko je vremena ostavljeno za savjetovanje?</w:t>
            </w:r>
          </w:p>
          <w:p w:rsidR="00E74026" w:rsidRPr="00832051" w:rsidRDefault="00E74026" w:rsidP="00E71534">
            <w:pPr>
              <w:jc w:val="both"/>
            </w:pPr>
          </w:p>
          <w:p w:rsidR="00E74026" w:rsidRPr="00832051" w:rsidRDefault="00E74026" w:rsidP="00E71534">
            <w:pPr>
              <w:jc w:val="both"/>
            </w:pPr>
            <w:r w:rsidRPr="00832051">
              <w:t>Ako nije, zašto?</w:t>
            </w:r>
          </w:p>
          <w:p w:rsidR="00BB5B22" w:rsidRPr="00832051" w:rsidRDefault="00BB5B22" w:rsidP="00E71534">
            <w:pPr>
              <w:jc w:val="both"/>
            </w:pPr>
          </w:p>
        </w:tc>
        <w:tc>
          <w:tcPr>
            <w:tcW w:w="4531" w:type="dxa"/>
          </w:tcPr>
          <w:p w:rsidR="00C05596" w:rsidRDefault="00B752C3" w:rsidP="00E71534">
            <w:pPr>
              <w:jc w:val="both"/>
            </w:pPr>
            <w:r>
              <w:t>P</w:t>
            </w:r>
            <w:r w:rsidR="00F40995" w:rsidRPr="00832051">
              <w:t xml:space="preserve">rijedlog </w:t>
            </w:r>
            <w:r>
              <w:t>uredbe o izmjenama i dopunama uredbe o izvozu i uvozu robe koja bi se mogla koristiti za izvršenje smrtne kazne, mučenje ili drugo okrutno, neljudsko ili ponižavajuće postupanje ili kažnjavanje</w:t>
            </w:r>
            <w:r w:rsidR="00F40995" w:rsidRPr="00832051">
              <w:t xml:space="preserve"> bio je objavljen na p</w:t>
            </w:r>
            <w:r w:rsidR="00C05596" w:rsidRPr="00832051">
              <w:t>ortal</w:t>
            </w:r>
            <w:r w:rsidR="00F40995" w:rsidRPr="00832051">
              <w:t>u</w:t>
            </w:r>
            <w:r w:rsidR="00C05596" w:rsidRPr="00832051">
              <w:t xml:space="preserve"> Vlade Republike Hrvatske e-savjetovanje</w:t>
            </w:r>
            <w:r w:rsidR="00F40995" w:rsidRPr="00832051">
              <w:t>, na stranici:</w:t>
            </w:r>
          </w:p>
          <w:p w:rsidR="00B752C3" w:rsidRDefault="009B0A13" w:rsidP="00E71534">
            <w:pPr>
              <w:jc w:val="both"/>
            </w:pPr>
            <w:hyperlink r:id="rId7" w:history="1">
              <w:r w:rsidR="00B752C3" w:rsidRPr="00FF25F8">
                <w:rPr>
                  <w:rStyle w:val="Hyperlink"/>
                </w:rPr>
                <w:t>https://esavjetovanja.gov.hr/ECon/MainScreen?entityId=12622</w:t>
              </w:r>
            </w:hyperlink>
          </w:p>
          <w:p w:rsidR="00B752C3" w:rsidRPr="00832051" w:rsidRDefault="00B752C3" w:rsidP="00E71534">
            <w:pPr>
              <w:jc w:val="both"/>
            </w:pPr>
          </w:p>
          <w:p w:rsidR="00C05596" w:rsidRPr="00832051" w:rsidRDefault="00F40995" w:rsidP="00E71534">
            <w:pPr>
              <w:jc w:val="both"/>
            </w:pPr>
            <w:r w:rsidRPr="00832051">
              <w:t xml:space="preserve">Savjetovanje je trajalo od  </w:t>
            </w:r>
            <w:r w:rsidR="00B752C3">
              <w:t>19</w:t>
            </w:r>
            <w:r w:rsidR="00373B76" w:rsidRPr="00832051">
              <w:t>.</w:t>
            </w:r>
            <w:r w:rsidR="00B752C3">
              <w:t>11.</w:t>
            </w:r>
            <w:r w:rsidRPr="00832051">
              <w:t xml:space="preserve">  do  </w:t>
            </w:r>
            <w:r w:rsidR="00373B76" w:rsidRPr="00832051">
              <w:t>0</w:t>
            </w:r>
            <w:r w:rsidR="00B752C3">
              <w:t>3</w:t>
            </w:r>
            <w:r w:rsidR="00373B76" w:rsidRPr="00832051">
              <w:t>.</w:t>
            </w:r>
            <w:r w:rsidR="00B752C3">
              <w:t>12</w:t>
            </w:r>
            <w:r w:rsidR="00373B76" w:rsidRPr="00832051">
              <w:t>.</w:t>
            </w:r>
            <w:r w:rsidRPr="00832051">
              <w:t>201</w:t>
            </w:r>
            <w:r w:rsidR="00B752C3">
              <w:t>9</w:t>
            </w:r>
            <w:r w:rsidRPr="00832051">
              <w:t>. godine</w:t>
            </w:r>
          </w:p>
          <w:p w:rsidR="00CC69AB" w:rsidRPr="00832051" w:rsidRDefault="00CC69AB" w:rsidP="00E71534">
            <w:pPr>
              <w:jc w:val="both"/>
            </w:pPr>
          </w:p>
        </w:tc>
      </w:tr>
      <w:tr w:rsidR="00E74026" w:rsidRPr="00832051" w:rsidTr="0052772A">
        <w:tc>
          <w:tcPr>
            <w:tcW w:w="2835" w:type="dxa"/>
          </w:tcPr>
          <w:p w:rsidR="00E74026" w:rsidRPr="00832051" w:rsidRDefault="00E74026" w:rsidP="00E71534">
            <w:pPr>
              <w:jc w:val="both"/>
            </w:pPr>
            <w:r w:rsidRPr="00832051">
              <w:t>Koji su predstavnici zainteresirane javnosti dostavili svoja očitovanja?</w:t>
            </w:r>
          </w:p>
          <w:p w:rsidR="00BB5B22" w:rsidRPr="00832051" w:rsidRDefault="00BB5B22" w:rsidP="00E71534">
            <w:pPr>
              <w:jc w:val="both"/>
            </w:pPr>
          </w:p>
        </w:tc>
        <w:tc>
          <w:tcPr>
            <w:tcW w:w="4531" w:type="dxa"/>
          </w:tcPr>
          <w:p w:rsidR="00CC69AB" w:rsidRPr="00832051" w:rsidRDefault="00B752C3" w:rsidP="00E71534">
            <w:pPr>
              <w:jc w:val="both"/>
            </w:pPr>
            <w:r>
              <w:t>/</w:t>
            </w:r>
          </w:p>
        </w:tc>
      </w:tr>
      <w:tr w:rsidR="00E74026" w:rsidRPr="00832051" w:rsidTr="0052772A">
        <w:tc>
          <w:tcPr>
            <w:tcW w:w="2835" w:type="dxa"/>
          </w:tcPr>
          <w:p w:rsidR="00E74026" w:rsidRPr="00832051" w:rsidRDefault="00E74026" w:rsidP="00E71534">
            <w:pPr>
              <w:jc w:val="both"/>
            </w:pPr>
            <w:r w:rsidRPr="00832051">
              <w:t>ANALIZA DOSTAVLJENIH PRIMJEDBI</w:t>
            </w:r>
          </w:p>
          <w:p w:rsidR="00E74026" w:rsidRPr="00832051" w:rsidRDefault="00E74026" w:rsidP="00E71534">
            <w:pPr>
              <w:jc w:val="both"/>
            </w:pPr>
          </w:p>
          <w:p w:rsidR="00E74026" w:rsidRPr="00832051" w:rsidRDefault="00E74026" w:rsidP="00E71534">
            <w:pPr>
              <w:tabs>
                <w:tab w:val="left" w:pos="3165"/>
              </w:tabs>
              <w:jc w:val="both"/>
            </w:pPr>
            <w:r w:rsidRPr="00832051">
              <w:t>Primjedbe koje su prihvaćene</w:t>
            </w:r>
            <w:r w:rsidRPr="00832051">
              <w:tab/>
            </w:r>
          </w:p>
          <w:p w:rsidR="00E74026" w:rsidRPr="00832051" w:rsidRDefault="00E74026" w:rsidP="00E71534">
            <w:pPr>
              <w:tabs>
                <w:tab w:val="left" w:pos="3165"/>
              </w:tabs>
              <w:jc w:val="both"/>
            </w:pPr>
          </w:p>
          <w:p w:rsidR="00BB5B22" w:rsidRPr="00832051" w:rsidRDefault="00E74026" w:rsidP="00E71534">
            <w:pPr>
              <w:jc w:val="both"/>
            </w:pPr>
            <w:r w:rsidRPr="00832051">
              <w:t>Primjedbe koje nisu prihvaćene i obraz</w:t>
            </w:r>
            <w:r w:rsidR="00B752C3">
              <w:t>loženje razloga za neprihvaćanje</w:t>
            </w:r>
          </w:p>
        </w:tc>
        <w:tc>
          <w:tcPr>
            <w:tcW w:w="4531" w:type="dxa"/>
          </w:tcPr>
          <w:p w:rsidR="0033151A" w:rsidRPr="00832051" w:rsidRDefault="001435E5" w:rsidP="00E71534">
            <w:pPr>
              <w:jc w:val="both"/>
            </w:pPr>
            <w:r>
              <w:lastRenderedPageBreak/>
              <w:t>/</w:t>
            </w:r>
          </w:p>
          <w:p w:rsidR="00E74026" w:rsidRPr="00832051" w:rsidRDefault="00E74026" w:rsidP="00E71534">
            <w:pPr>
              <w:jc w:val="both"/>
            </w:pPr>
          </w:p>
          <w:p w:rsidR="00CC69AB" w:rsidRPr="00832051" w:rsidRDefault="00CC69AB" w:rsidP="00E71534">
            <w:pPr>
              <w:jc w:val="both"/>
            </w:pPr>
          </w:p>
          <w:p w:rsidR="002142C7" w:rsidRPr="00832051" w:rsidRDefault="002142C7" w:rsidP="00E71534">
            <w:pPr>
              <w:jc w:val="both"/>
            </w:pPr>
          </w:p>
          <w:p w:rsidR="00832051" w:rsidRDefault="00832051" w:rsidP="00E71534">
            <w:pPr>
              <w:jc w:val="both"/>
              <w:rPr>
                <w:u w:val="single"/>
              </w:rPr>
            </w:pPr>
          </w:p>
          <w:p w:rsidR="00832051" w:rsidRDefault="001435E5" w:rsidP="00E71534">
            <w:pPr>
              <w:jc w:val="both"/>
              <w:rPr>
                <w:u w:val="single"/>
              </w:rPr>
            </w:pPr>
            <w:r>
              <w:rPr>
                <w:u w:val="single"/>
              </w:rPr>
              <w:t>/</w:t>
            </w:r>
          </w:p>
          <w:p w:rsidR="00CB7ED4" w:rsidRPr="00832051" w:rsidRDefault="00B752C3" w:rsidP="00B752C3">
            <w:pPr>
              <w:jc w:val="both"/>
            </w:pPr>
            <w:r w:rsidRPr="00832051">
              <w:t xml:space="preserve"> </w:t>
            </w:r>
          </w:p>
          <w:p w:rsidR="00CB7ED4" w:rsidRPr="00832051" w:rsidRDefault="00CB7ED4" w:rsidP="00E71534">
            <w:pPr>
              <w:jc w:val="both"/>
            </w:pPr>
          </w:p>
          <w:p w:rsidR="00CB7ED4" w:rsidRPr="00832051" w:rsidRDefault="00CB7ED4" w:rsidP="00B752C3">
            <w:pPr>
              <w:jc w:val="both"/>
            </w:pPr>
          </w:p>
        </w:tc>
      </w:tr>
      <w:tr w:rsidR="00E74026" w:rsidRPr="00832051" w:rsidTr="0052772A">
        <w:tc>
          <w:tcPr>
            <w:tcW w:w="2835" w:type="dxa"/>
          </w:tcPr>
          <w:p w:rsidR="00E74026" w:rsidRPr="00832051" w:rsidRDefault="00E74026" w:rsidP="00E71534">
            <w:pPr>
              <w:jc w:val="both"/>
            </w:pPr>
            <w:r w:rsidRPr="00832051">
              <w:lastRenderedPageBreak/>
              <w:t>Troškovi provedenog savjetovanja</w:t>
            </w:r>
          </w:p>
        </w:tc>
        <w:tc>
          <w:tcPr>
            <w:tcW w:w="4531" w:type="dxa"/>
          </w:tcPr>
          <w:p w:rsidR="00CC69AB" w:rsidRPr="00832051" w:rsidRDefault="00C51295" w:rsidP="00E71534">
            <w:pPr>
              <w:jc w:val="both"/>
            </w:pPr>
            <w:r w:rsidRPr="00832051">
              <w:t>Provedba javnog savjetovanja nije iziskivala dodatne financijske troškove.</w:t>
            </w:r>
          </w:p>
        </w:tc>
      </w:tr>
    </w:tbl>
    <w:p w:rsidR="0024722A" w:rsidRPr="00832051" w:rsidRDefault="009B0A13" w:rsidP="00E71534">
      <w:pPr>
        <w:jc w:val="both"/>
      </w:pPr>
    </w:p>
    <w:sectPr w:rsidR="0024722A" w:rsidRPr="008320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13" w:rsidRDefault="009B0A13" w:rsidP="00140B22">
      <w:pPr>
        <w:spacing w:after="0" w:line="240" w:lineRule="auto"/>
      </w:pPr>
      <w:r>
        <w:separator/>
      </w:r>
    </w:p>
  </w:endnote>
  <w:endnote w:type="continuationSeparator" w:id="0">
    <w:p w:rsidR="009B0A13" w:rsidRDefault="009B0A13"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0149381"/>
      <w:docPartObj>
        <w:docPartGallery w:val="Page Numbers (Bottom of Page)"/>
        <w:docPartUnique/>
      </w:docPartObj>
    </w:sdtPr>
    <w:sdtEndPr>
      <w:rPr>
        <w:noProof/>
      </w:rPr>
    </w:sdtEndPr>
    <w:sdtContent>
      <w:p w:rsidR="00140B22" w:rsidRDefault="00140B22">
        <w:pPr>
          <w:pStyle w:val="Footer"/>
          <w:jc w:val="center"/>
        </w:pPr>
        <w:r>
          <w:rPr>
            <w:noProof w:val="0"/>
          </w:rPr>
          <w:fldChar w:fldCharType="begin"/>
        </w:r>
        <w:r>
          <w:instrText xml:space="preserve"> PAGE   \* MERGEFORMAT </w:instrText>
        </w:r>
        <w:r>
          <w:rPr>
            <w:noProof w:val="0"/>
          </w:rPr>
          <w:fldChar w:fldCharType="separate"/>
        </w:r>
        <w:r w:rsidR="0055314F">
          <w:t>1</w:t>
        </w:r>
        <w:r>
          <w:fldChar w:fldCharType="end"/>
        </w:r>
      </w:p>
    </w:sdtContent>
  </w:sdt>
  <w:p w:rsidR="00140B22" w:rsidRDefault="00140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13" w:rsidRDefault="009B0A13" w:rsidP="00140B22">
      <w:pPr>
        <w:spacing w:after="0" w:line="240" w:lineRule="auto"/>
      </w:pPr>
      <w:r>
        <w:separator/>
      </w:r>
    </w:p>
  </w:footnote>
  <w:footnote w:type="continuationSeparator" w:id="0">
    <w:p w:rsidR="009B0A13" w:rsidRDefault="009B0A13" w:rsidP="00140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8D"/>
    <w:rsid w:val="000125D8"/>
    <w:rsid w:val="00094AD3"/>
    <w:rsid w:val="000F6AA6"/>
    <w:rsid w:val="00106013"/>
    <w:rsid w:val="00111B99"/>
    <w:rsid w:val="0011358D"/>
    <w:rsid w:val="00140B22"/>
    <w:rsid w:val="001435E5"/>
    <w:rsid w:val="001C5E58"/>
    <w:rsid w:val="001E70F1"/>
    <w:rsid w:val="002142C7"/>
    <w:rsid w:val="00214384"/>
    <w:rsid w:val="00230F1F"/>
    <w:rsid w:val="00251538"/>
    <w:rsid w:val="00267266"/>
    <w:rsid w:val="002732AE"/>
    <w:rsid w:val="002A6426"/>
    <w:rsid w:val="002D580E"/>
    <w:rsid w:val="002F4482"/>
    <w:rsid w:val="0030259E"/>
    <w:rsid w:val="0033151A"/>
    <w:rsid w:val="00373B76"/>
    <w:rsid w:val="003C7B6E"/>
    <w:rsid w:val="003D05B9"/>
    <w:rsid w:val="003E7665"/>
    <w:rsid w:val="00412C09"/>
    <w:rsid w:val="0051497B"/>
    <w:rsid w:val="00521C01"/>
    <w:rsid w:val="0052772A"/>
    <w:rsid w:val="0055314F"/>
    <w:rsid w:val="005615E5"/>
    <w:rsid w:val="005A754A"/>
    <w:rsid w:val="005B76A4"/>
    <w:rsid w:val="005D2CAE"/>
    <w:rsid w:val="005E2597"/>
    <w:rsid w:val="005E7D8F"/>
    <w:rsid w:val="006F0296"/>
    <w:rsid w:val="00780AC5"/>
    <w:rsid w:val="007E0102"/>
    <w:rsid w:val="008248F9"/>
    <w:rsid w:val="00832051"/>
    <w:rsid w:val="00852B7A"/>
    <w:rsid w:val="008C46AB"/>
    <w:rsid w:val="009A3F1D"/>
    <w:rsid w:val="009A6F01"/>
    <w:rsid w:val="009B0A13"/>
    <w:rsid w:val="009B22F5"/>
    <w:rsid w:val="00B752C3"/>
    <w:rsid w:val="00B94063"/>
    <w:rsid w:val="00BB5B22"/>
    <w:rsid w:val="00C00168"/>
    <w:rsid w:val="00C05596"/>
    <w:rsid w:val="00C51295"/>
    <w:rsid w:val="00CB7ED4"/>
    <w:rsid w:val="00CC69AB"/>
    <w:rsid w:val="00D7059E"/>
    <w:rsid w:val="00D80091"/>
    <w:rsid w:val="00DA7126"/>
    <w:rsid w:val="00E04A76"/>
    <w:rsid w:val="00E15B39"/>
    <w:rsid w:val="00E71534"/>
    <w:rsid w:val="00E74026"/>
    <w:rsid w:val="00E97545"/>
    <w:rsid w:val="00ED3721"/>
    <w:rsid w:val="00EF4D47"/>
    <w:rsid w:val="00F40995"/>
    <w:rsid w:val="00FE330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B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B22"/>
    <w:rPr>
      <w:noProof/>
    </w:rPr>
  </w:style>
  <w:style w:type="paragraph" w:styleId="Footer">
    <w:name w:val="footer"/>
    <w:basedOn w:val="Normal"/>
    <w:link w:val="FooterChar"/>
    <w:uiPriority w:val="99"/>
    <w:unhideWhenUsed/>
    <w:rsid w:val="00140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B22"/>
    <w:rPr>
      <w:noProof/>
    </w:rPr>
  </w:style>
  <w:style w:type="paragraph" w:styleId="ListParagraph">
    <w:name w:val="List Paragraph"/>
    <w:basedOn w:val="Normal"/>
    <w:uiPriority w:val="34"/>
    <w:qFormat/>
    <w:rsid w:val="00C05596"/>
    <w:pPr>
      <w:ind w:left="720"/>
      <w:contextualSpacing/>
    </w:pPr>
  </w:style>
  <w:style w:type="paragraph" w:styleId="BalloonText">
    <w:name w:val="Balloon Text"/>
    <w:basedOn w:val="Normal"/>
    <w:link w:val="BalloonTextChar"/>
    <w:uiPriority w:val="99"/>
    <w:semiHidden/>
    <w:unhideWhenUsed/>
    <w:rsid w:val="005B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A4"/>
    <w:rPr>
      <w:rFonts w:ascii="Segoe UI" w:hAnsi="Segoe UI" w:cs="Segoe UI"/>
      <w:noProof/>
      <w:sz w:val="18"/>
      <w:szCs w:val="18"/>
    </w:rPr>
  </w:style>
  <w:style w:type="character" w:styleId="Hyperlink">
    <w:name w:val="Hyperlink"/>
    <w:basedOn w:val="DefaultParagraphFont"/>
    <w:uiPriority w:val="99"/>
    <w:unhideWhenUsed/>
    <w:rsid w:val="00B752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B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B22"/>
    <w:rPr>
      <w:noProof/>
    </w:rPr>
  </w:style>
  <w:style w:type="paragraph" w:styleId="Footer">
    <w:name w:val="footer"/>
    <w:basedOn w:val="Normal"/>
    <w:link w:val="FooterChar"/>
    <w:uiPriority w:val="99"/>
    <w:unhideWhenUsed/>
    <w:rsid w:val="00140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B22"/>
    <w:rPr>
      <w:noProof/>
    </w:rPr>
  </w:style>
  <w:style w:type="paragraph" w:styleId="ListParagraph">
    <w:name w:val="List Paragraph"/>
    <w:basedOn w:val="Normal"/>
    <w:uiPriority w:val="34"/>
    <w:qFormat/>
    <w:rsid w:val="00C05596"/>
    <w:pPr>
      <w:ind w:left="720"/>
      <w:contextualSpacing/>
    </w:pPr>
  </w:style>
  <w:style w:type="paragraph" w:styleId="BalloonText">
    <w:name w:val="Balloon Text"/>
    <w:basedOn w:val="Normal"/>
    <w:link w:val="BalloonTextChar"/>
    <w:uiPriority w:val="99"/>
    <w:semiHidden/>
    <w:unhideWhenUsed/>
    <w:rsid w:val="005B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A4"/>
    <w:rPr>
      <w:rFonts w:ascii="Segoe UI" w:hAnsi="Segoe UI" w:cs="Segoe UI"/>
      <w:noProof/>
      <w:sz w:val="18"/>
      <w:szCs w:val="18"/>
    </w:rPr>
  </w:style>
  <w:style w:type="character" w:styleId="Hyperlink">
    <w:name w:val="Hyperlink"/>
    <w:basedOn w:val="DefaultParagraphFont"/>
    <w:uiPriority w:val="99"/>
    <w:unhideWhenUsed/>
    <w:rsid w:val="00B75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avjetovanja.gov.hr/ECon/MainScreen?entityId=126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IN2 grupa</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Hrženjak</dc:creator>
  <cp:lastModifiedBy>Danja Šilović-Karić</cp:lastModifiedBy>
  <cp:revision>4</cp:revision>
  <cp:lastPrinted>2018-06-20T13:51:00Z</cp:lastPrinted>
  <dcterms:created xsi:type="dcterms:W3CDTF">2019-12-20T08:58:00Z</dcterms:created>
  <dcterms:modified xsi:type="dcterms:W3CDTF">2019-12-20T09:42:00Z</dcterms:modified>
</cp:coreProperties>
</file>